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B4DFC">
      <w:pPr>
        <w:spacing w:line="360" w:lineRule="auto"/>
        <w:jc w:val="center"/>
        <w:rPr>
          <w:rFonts w:hint="eastAsia" w:ascii="宋体" w:hAnsi="宋体" w:eastAsia="宋体" w:cs="Times New Roman"/>
          <w:sz w:val="52"/>
          <w:szCs w:val="22"/>
        </w:rPr>
      </w:pPr>
    </w:p>
    <w:p w14:paraId="5D846D27">
      <w:pPr>
        <w:spacing w:line="360" w:lineRule="auto"/>
        <w:jc w:val="center"/>
        <w:rPr>
          <w:rFonts w:ascii="宋体" w:hAnsi="宋体" w:eastAsia="宋体" w:cs="Times New Roman"/>
          <w:sz w:val="40"/>
          <w:szCs w:val="18"/>
        </w:rPr>
      </w:pPr>
      <w:r>
        <w:rPr>
          <w:rFonts w:hint="eastAsia" w:ascii="宋体" w:hAnsi="宋体" w:eastAsia="宋体" w:cs="Times New Roman"/>
          <w:sz w:val="52"/>
          <w:szCs w:val="22"/>
        </w:rPr>
        <w:t>中国工程机械工业协会团体标准</w:t>
      </w:r>
    </w:p>
    <w:p w14:paraId="68FE3034">
      <w:pPr>
        <w:widowControl w:val="0"/>
        <w:spacing w:after="0" w:line="360" w:lineRule="auto"/>
        <w:ind w:left="426" w:leftChars="202" w:right="225" w:rightChars="107" w:hanging="2"/>
        <w:jc w:val="center"/>
        <w:rPr>
          <w:rFonts w:ascii="黑体" w:hAnsi="Times New Roman" w:eastAsia="黑体" w:cs="Times New Roman"/>
          <w:kern w:val="2"/>
          <w:sz w:val="32"/>
          <w:szCs w:val="15"/>
          <w:lang w:val="en-US" w:eastAsia="zh-CN" w:bidi="ar-SA"/>
        </w:rPr>
      </w:pPr>
    </w:p>
    <w:p w14:paraId="5C49B0D0">
      <w:pPr>
        <w:widowControl w:val="0"/>
        <w:spacing w:after="0" w:line="360" w:lineRule="auto"/>
        <w:ind w:left="426" w:leftChars="202" w:right="225" w:rightChars="107" w:hanging="2"/>
        <w:jc w:val="center"/>
        <w:rPr>
          <w:rFonts w:ascii="黑体" w:hAnsi="Times New Roman" w:eastAsia="黑体" w:cs="Times New Roman"/>
          <w:kern w:val="2"/>
          <w:sz w:val="32"/>
          <w:szCs w:val="15"/>
          <w:lang w:val="en-US" w:eastAsia="zh-CN" w:bidi="ar-SA"/>
        </w:rPr>
      </w:pPr>
    </w:p>
    <w:p w14:paraId="43BD20B5">
      <w:pPr>
        <w:widowControl w:val="0"/>
        <w:spacing w:line="360" w:lineRule="auto"/>
        <w:jc w:val="center"/>
        <w:textAlignment w:val="center"/>
        <w:rPr>
          <w:rFonts w:hint="default" w:ascii="黑体" w:hAnsi="Times New Roman" w:eastAsia="黑体" w:cs="Times New Roman"/>
          <w:kern w:val="2"/>
          <w:sz w:val="52"/>
          <w:szCs w:val="22"/>
          <w:lang w:val="en-US" w:eastAsia="zh-CN" w:bidi="ar-SA"/>
        </w:rPr>
      </w:pPr>
      <w:r>
        <w:rPr>
          <w:rFonts w:hint="eastAsia" w:ascii="黑体" w:hAnsi="Times New Roman" w:eastAsia="黑体" w:cs="Times New Roman"/>
          <w:kern w:val="2"/>
          <w:sz w:val="52"/>
          <w:szCs w:val="22"/>
          <w:lang w:val="en-US" w:eastAsia="zh-CN" w:bidi="ar-SA"/>
        </w:rPr>
        <w:t>擦窗机主要零部件报废条件</w:t>
      </w:r>
    </w:p>
    <w:p w14:paraId="79116D7D">
      <w:pPr>
        <w:widowControl w:val="0"/>
        <w:spacing w:before="440" w:line="400" w:lineRule="exact"/>
        <w:jc w:val="center"/>
        <w:textAlignment w:val="center"/>
        <w:rPr>
          <w:rFonts w:hint="eastAsia" w:ascii="黑体" w:hAnsi="黑体" w:eastAsia="黑体" w:cs="黑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0"/>
          <w:sz w:val="28"/>
          <w:szCs w:val="28"/>
          <w:lang w:val="en-US" w:eastAsia="zh-CN" w:bidi="ar-SA"/>
        </w:rPr>
        <w:t>Specification for discard of the parts of the building maintenance unit</w:t>
      </w:r>
    </w:p>
    <w:p w14:paraId="193CF31C">
      <w:pPr>
        <w:spacing w:line="360" w:lineRule="auto"/>
        <w:jc w:val="center"/>
        <w:rPr>
          <w:rFonts w:ascii="宋体" w:hAnsi="Calibri" w:eastAsia="宋体" w:cs="Times New Roman"/>
          <w:sz w:val="36"/>
          <w:szCs w:val="22"/>
        </w:rPr>
      </w:pPr>
    </w:p>
    <w:p w14:paraId="25827F7A">
      <w:pPr>
        <w:spacing w:line="360" w:lineRule="auto"/>
        <w:jc w:val="center"/>
        <w:rPr>
          <w:rFonts w:hint="eastAsia" w:ascii="宋体" w:hAnsi="Calibri" w:eastAsia="宋体" w:cs="Times New Roman"/>
          <w:sz w:val="36"/>
          <w:szCs w:val="22"/>
          <w:lang w:eastAsia="zh-CN"/>
        </w:rPr>
      </w:pPr>
      <w:r>
        <w:rPr>
          <w:rFonts w:hint="eastAsia" w:ascii="宋体" w:hAnsi="Calibri" w:eastAsia="宋体" w:cs="Times New Roman"/>
          <w:sz w:val="36"/>
          <w:szCs w:val="22"/>
          <w:lang w:eastAsia="zh-CN"/>
        </w:rPr>
        <w:t>（征求意见稿）</w:t>
      </w:r>
    </w:p>
    <w:p w14:paraId="519C899C">
      <w:pPr>
        <w:spacing w:line="360" w:lineRule="auto"/>
        <w:jc w:val="center"/>
        <w:rPr>
          <w:rFonts w:hint="eastAsia" w:ascii="黑体" w:hAnsi="黑体" w:eastAsia="黑体" w:cs="Times New Roman"/>
          <w:sz w:val="44"/>
          <w:szCs w:val="24"/>
        </w:rPr>
      </w:pPr>
    </w:p>
    <w:p w14:paraId="49E303D3">
      <w:pPr>
        <w:spacing w:line="360" w:lineRule="auto"/>
        <w:jc w:val="center"/>
        <w:rPr>
          <w:rFonts w:ascii="黑体" w:hAnsi="黑体" w:eastAsia="黑体" w:cs="Times New Roman"/>
          <w:sz w:val="44"/>
          <w:szCs w:val="24"/>
        </w:rPr>
      </w:pPr>
      <w:r>
        <w:rPr>
          <w:rFonts w:hint="eastAsia" w:ascii="黑体" w:hAnsi="黑体" w:eastAsia="黑体" w:cs="Times New Roman"/>
          <w:sz w:val="44"/>
          <w:szCs w:val="24"/>
        </w:rPr>
        <w:t>编制说明</w:t>
      </w:r>
    </w:p>
    <w:p w14:paraId="10BBEAB0">
      <w:pPr>
        <w:spacing w:line="360" w:lineRule="auto"/>
        <w:jc w:val="center"/>
        <w:rPr>
          <w:rFonts w:ascii="宋体" w:hAnsi="Calibri" w:eastAsia="宋体" w:cs="Times New Roman"/>
          <w:sz w:val="36"/>
          <w:szCs w:val="22"/>
        </w:rPr>
      </w:pPr>
    </w:p>
    <w:p w14:paraId="053C080D">
      <w:pPr>
        <w:spacing w:line="360" w:lineRule="auto"/>
        <w:jc w:val="center"/>
        <w:rPr>
          <w:rFonts w:ascii="宋体" w:hAnsi="Calibri" w:eastAsia="宋体" w:cs="Times New Roman"/>
          <w:sz w:val="36"/>
          <w:szCs w:val="22"/>
        </w:rPr>
      </w:pPr>
    </w:p>
    <w:p w14:paraId="511C4A9C">
      <w:pPr>
        <w:spacing w:line="360" w:lineRule="auto"/>
        <w:jc w:val="center"/>
        <w:rPr>
          <w:rFonts w:ascii="宋体" w:hAnsi="Calibri" w:eastAsia="宋体" w:cs="Times New Roman"/>
          <w:sz w:val="36"/>
          <w:szCs w:val="22"/>
        </w:rPr>
      </w:pPr>
    </w:p>
    <w:p w14:paraId="747394C6">
      <w:pPr>
        <w:spacing w:line="360" w:lineRule="auto"/>
        <w:jc w:val="center"/>
        <w:rPr>
          <w:rFonts w:ascii="宋体" w:hAnsi="Calibri" w:eastAsia="宋体" w:cs="Times New Roman"/>
          <w:sz w:val="36"/>
          <w:szCs w:val="22"/>
        </w:rPr>
      </w:pPr>
    </w:p>
    <w:p w14:paraId="6BD3B039">
      <w:pPr>
        <w:spacing w:line="360" w:lineRule="auto"/>
        <w:jc w:val="center"/>
        <w:rPr>
          <w:rFonts w:ascii="宋体" w:hAnsi="Calibri" w:eastAsia="宋体" w:cs="Times New Roman"/>
          <w:sz w:val="36"/>
          <w:szCs w:val="22"/>
        </w:rPr>
      </w:pPr>
    </w:p>
    <w:p w14:paraId="0DC54FFF">
      <w:pPr>
        <w:spacing w:line="360" w:lineRule="auto"/>
        <w:jc w:val="center"/>
        <w:rPr>
          <w:rFonts w:ascii="宋体" w:hAnsi="Calibri" w:eastAsia="宋体" w:cs="Times New Roman"/>
          <w:sz w:val="36"/>
          <w:szCs w:val="22"/>
        </w:rPr>
      </w:pPr>
    </w:p>
    <w:p w14:paraId="055904CC">
      <w:pPr>
        <w:spacing w:line="360" w:lineRule="auto"/>
        <w:jc w:val="center"/>
        <w:rPr>
          <w:rFonts w:ascii="宋体" w:hAnsi="宋体" w:eastAsia="宋体" w:cs="Times New Roman"/>
          <w:sz w:val="30"/>
          <w:szCs w:val="24"/>
        </w:rPr>
      </w:pPr>
    </w:p>
    <w:p w14:paraId="0FDFBF81">
      <w:pPr>
        <w:spacing w:line="360" w:lineRule="auto"/>
        <w:jc w:val="center"/>
        <w:rPr>
          <w:rFonts w:ascii="宋体" w:hAnsi="宋体" w:eastAsia="宋体" w:cs="Times New Roman"/>
          <w:sz w:val="30"/>
          <w:szCs w:val="24"/>
        </w:rPr>
      </w:pPr>
    </w:p>
    <w:p w14:paraId="4BEAC7A3">
      <w:pPr>
        <w:spacing w:line="360" w:lineRule="auto"/>
        <w:jc w:val="center"/>
        <w:rPr>
          <w:rFonts w:hint="eastAsia" w:ascii="宋体" w:hAnsi="宋体" w:eastAsia="宋体" w:cs="宋体"/>
          <w:sz w:val="32"/>
          <w:szCs w:val="21"/>
        </w:rPr>
      </w:pPr>
      <w:r>
        <w:rPr>
          <w:rFonts w:hint="eastAsia" w:ascii="宋体" w:hAnsi="宋体" w:eastAsia="宋体" w:cs="宋体"/>
          <w:sz w:val="32"/>
          <w:szCs w:val="21"/>
        </w:rPr>
        <w:t>标准编制工作组</w:t>
      </w:r>
    </w:p>
    <w:p w14:paraId="7E76AC82">
      <w:pPr>
        <w:spacing w:line="360" w:lineRule="auto"/>
        <w:jc w:val="center"/>
        <w:rPr>
          <w:rFonts w:hint="eastAsia" w:ascii="宋体" w:hAnsi="宋体" w:eastAsia="宋体" w:cs="宋体"/>
          <w:w w:val="120"/>
          <w:sz w:val="30"/>
          <w:szCs w:val="24"/>
        </w:rPr>
      </w:pPr>
      <w:r>
        <w:rPr>
          <w:rFonts w:hint="eastAsia" w:ascii="宋体" w:hAnsi="宋体" w:eastAsia="宋体" w:cs="宋体"/>
          <w:w w:val="120"/>
          <w:sz w:val="30"/>
          <w:szCs w:val="24"/>
        </w:rPr>
        <w:t>202</w:t>
      </w:r>
      <w:r>
        <w:rPr>
          <w:rFonts w:hint="eastAsia" w:ascii="宋体" w:hAnsi="宋体" w:eastAsia="宋体" w:cs="宋体"/>
          <w:w w:val="120"/>
          <w:sz w:val="30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w w:val="120"/>
          <w:sz w:val="30"/>
          <w:szCs w:val="24"/>
        </w:rPr>
        <w:t>年</w:t>
      </w:r>
      <w:r>
        <w:rPr>
          <w:rFonts w:hint="eastAsia" w:ascii="宋体" w:hAnsi="宋体" w:eastAsia="宋体" w:cs="宋体"/>
          <w:w w:val="120"/>
          <w:sz w:val="30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w w:val="120"/>
          <w:sz w:val="30"/>
          <w:szCs w:val="24"/>
        </w:rPr>
        <w:t>月</w:t>
      </w:r>
    </w:p>
    <w:p w14:paraId="1D6B9676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D22E0E">
      <w:pPr>
        <w:spacing w:line="240" w:lineRule="auto"/>
        <w:jc w:val="center"/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</w:rPr>
        <w:t>《擦窗机主要</w:t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  <w:lang w:eastAsia="zh-CN"/>
        </w:rPr>
        <w:t>零</w:t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</w:rPr>
        <w:t>部件报废</w:t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  <w:lang w:eastAsia="zh-CN"/>
        </w:rPr>
        <w:t>条件</w:t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</w:rPr>
        <w:t>》</w:t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  <w:lang w:eastAsia="zh-CN"/>
        </w:rPr>
        <w:t>（征求意见稿）</w:t>
      </w:r>
    </w:p>
    <w:p w14:paraId="2774BD8C">
      <w:pPr>
        <w:spacing w:line="240" w:lineRule="auto"/>
        <w:jc w:val="center"/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</w:rPr>
      </w:pPr>
      <w:r>
        <w:rPr>
          <w:rFonts w:hint="eastAsia" w:ascii="黑体" w:hAnsi="黑体" w:eastAsia="黑体" w:cs="黑体"/>
          <w:b w:val="0"/>
          <w:i w:val="0"/>
          <w:strike w:val="0"/>
          <w:color w:val="auto"/>
          <w:sz w:val="36"/>
          <w:u w:val="none"/>
        </w:rPr>
        <w:t>标准编制说明</w:t>
      </w:r>
    </w:p>
    <w:p w14:paraId="16DC325B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一、工作简况</w:t>
      </w:r>
    </w:p>
    <w:p w14:paraId="244B0FDE"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</w:rPr>
        <w:t>任务来源</w:t>
      </w:r>
    </w:p>
    <w:p w14:paraId="7DB16544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本项目根据中国工程机械工业协会2025年7月关于批准《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擦窗机报废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技术规范》等五项团体标准立项的通知而立项，项目计划编号JH-2025-00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，标准名称“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擦窗机报废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技术规范”，技术归口单位为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</w:rPr>
        <w:t>中国工程机械工业协会，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负责组织单位为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</w:rPr>
        <w:t>中国工程机械工业协会装修与高空作业机械分会</w:t>
      </w:r>
      <w:bookmarkStart w:id="0" w:name="OLE_LINK7"/>
      <w:bookmarkStart w:id="1" w:name="OLE_LINK1"/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eastAsia="zh-CN"/>
        </w:rPr>
        <w:t>。</w:t>
      </w:r>
    </w:p>
    <w:p w14:paraId="2E0252E2"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  <w:lang w:val="en-US" w:eastAsia="zh-CN"/>
        </w:rPr>
        <w:t>制定背景</w:t>
      </w:r>
    </w:p>
    <w:p w14:paraId="5D227268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  <w:t>擦窗机作为超高层建筑立面清洗与维护的核心设备，其安全运行直接关系到建筑运营安全及从业人员生命安全。自该设备进入我国市场近 30 年来，随着超高层建筑数量激增，擦窗机安装量逐年攀升，行业从业人员规模持续扩大，涵盖建筑运营单位监管人员、设备维护技术人员及一线操作人员等多个群体。</w:t>
      </w:r>
    </w:p>
    <w:p w14:paraId="4EF9E939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  <w:t>然而，当前行业面临显著的安全管理痛点：一方面，部分早期投入使用的擦窗机因长期缺乏规范保养，已逐步进入淘汰更换周期；另一方面，由于擦窗机设备结构复杂、专业性强，多数从业人员缺乏统一的技术指导，难以准确判断设备及部件的报废界限，导致超期服役、“带病运行” 等问题频发，形成严重的安全隐患。</w:t>
      </w:r>
    </w:p>
    <w:p w14:paraId="472BF412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  <w:t>从标准体系来看，目前国内现行标准如GB/T 6067.1《 起重机械安全规程 第1部分：总则》、 GB/T 5972《起重机钢丝绳保养、维护、检验和报废》、 GB/T 19154—2017《擦窗机》，仅聚焦于设备设计制造、安装验收及日常维护操作，尚未针对擦窗机整机及部件的报废制定专门技术规范，行业内缺乏统一、明确的报废依据，导致设备淘汰环节管理混乱。</w:t>
      </w:r>
    </w:p>
    <w:p w14:paraId="77E1BCD0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  <w:t>在此背景下，制定《擦窗机报废技术规范》团体标准，填补行业报废标准空白，为从业人员提供清晰、可操作的技术指引，已成为保障擦窗机使用安全、规范行业管理、促进行业健康可持续发展的当务之急。</w:t>
      </w:r>
    </w:p>
    <w:p w14:paraId="13868A32"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  <w:lang w:val="en-US" w:eastAsia="zh-CN"/>
        </w:rPr>
        <w:t>起草过程及安排</w:t>
      </w:r>
    </w:p>
    <w:p w14:paraId="3E8264DA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  <w:t>为解决擦窗机行业报废标准缺失导致的 “超期服役” 安全隐患等问题，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</w:rPr>
        <w:t>中国工程机械工业协会装修与高空作业机械分会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  <w:t>牵头启动标准立项工作。2025年初，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</w:rPr>
        <w:t>中国工程机械工业协会装修与高空作业机械分会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eastAsia="zh-CN"/>
        </w:rPr>
        <w:t>组织联合行业内生产企业、检验检测机构等单位，对擦窗机报废问题进行研讨。组织成立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《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擦窗机报废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技术规范》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标准编制组，由北京凯博擦窗机械科技有限公司担任主要编制工作。编制组收集擦窗机生产企业的安装、维保记录以及检测单位提供的检测数据等，并结合收集的国内外相关规范资料进行归纳、总结。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标准编制工作组按照GB/T 1.1-2020《标准化工作导则 第1部分：标准化文件的结构和起草规则》的规定进行起草本标准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。</w:t>
      </w:r>
    </w:p>
    <w:p w14:paraId="36140D8F"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  <w:lang w:val="en-US" w:eastAsia="zh-CN"/>
        </w:rPr>
        <w:t>主要参见单位</w:t>
      </w:r>
    </w:p>
    <w:bookmarkEnd w:id="0"/>
    <w:bookmarkEnd w:id="1"/>
    <w:p w14:paraId="7E9A365B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i w:val="0"/>
          <w:strike w:val="0"/>
          <w:color w:val="auto"/>
          <w:sz w:val="24"/>
          <w:szCs w:val="24"/>
          <w:u w:val="none"/>
        </w:rPr>
        <w:t>（</w:t>
      </w:r>
      <w:r>
        <w:rPr>
          <w:rFonts w:hint="eastAsia" w:ascii="宋体" w:hAnsi="宋体" w:eastAsia="宋体" w:cs="宋体"/>
          <w:b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strike w:val="0"/>
          <w:color w:val="auto"/>
          <w:sz w:val="24"/>
          <w:szCs w:val="24"/>
          <w:u w:val="none"/>
        </w:rPr>
        <w:t>）编制单位组成</w:t>
      </w:r>
    </w:p>
    <w:p w14:paraId="413C8405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本标准由北京凯博擦窗机械科技有限公司牵头，联合行业内具备技术优势、市场影响力的企业、科研机构及行业协会共同编制，具体单位包括：北京凯博擦窗机械科技有限公司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中国工程机械工业协会装修与高空作业机械分会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北京建筑机械化研究院有限公司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雄宇重工集团股份有限公司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中宇博机械制造股份有限公司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、无锡瑞吉德机械有限公司、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上海万润达机电科技发展有限公司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建研机械检验检测（北京）有限公司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江苏博宇建筑工程设备科技有限公司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上海普英特高层设备股份有限公司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val="en-US" w:eastAsia="zh-CN"/>
        </w:rPr>
        <w:t>等。</w:t>
      </w:r>
    </w:p>
    <w:p w14:paraId="1AE0023D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i w:val="0"/>
          <w:strike w:val="0"/>
          <w:color w:val="auto"/>
          <w:sz w:val="24"/>
          <w:szCs w:val="24"/>
          <w:u w:val="none"/>
        </w:rPr>
        <w:t>（</w:t>
      </w:r>
      <w:r>
        <w:rPr>
          <w:rFonts w:hint="eastAsia" w:ascii="宋体" w:hAnsi="宋体" w:eastAsia="宋体" w:cs="宋体"/>
          <w:b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strike w:val="0"/>
          <w:color w:val="auto"/>
          <w:sz w:val="24"/>
          <w:szCs w:val="24"/>
          <w:u w:val="none"/>
        </w:rPr>
        <w:t>）主要单位分工主要工作过程</w:t>
      </w:r>
    </w:p>
    <w:p w14:paraId="62C4F843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生产企业负责提供设备结构、失效案例等技术资料；检验检测机构负责验证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指标的科学性与可操作性；行业协会负责协调统筹与进度管理。</w:t>
      </w:r>
    </w:p>
    <w:p w14:paraId="70A0DFA9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二、标准编制原则和主要内容</w:t>
      </w:r>
    </w:p>
    <w:p w14:paraId="145D3B69"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标准编制原则</w:t>
      </w:r>
    </w:p>
    <w:p w14:paraId="3020C6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</w:pPr>
      <w:bookmarkStart w:id="2" w:name="OLE_LINK8"/>
      <w:bookmarkStart w:id="3" w:name="OLE_LINK9"/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本标准在编制工程中，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应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遵循</w:t>
      </w:r>
      <w:bookmarkEnd w:id="2"/>
      <w:bookmarkEnd w:id="3"/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以下原则：</w:t>
      </w:r>
    </w:p>
    <w:p w14:paraId="118DAC72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安全性优先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  <w:lang w:eastAsia="zh-CN"/>
        </w:rPr>
        <w:t>原则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以保障高空作业安全为核心目标。</w:t>
      </w:r>
    </w:p>
    <w:p w14:paraId="6AC1D83A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科学性与可操作性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  <w:lang w:eastAsia="zh-CN"/>
        </w:rPr>
        <w:t>原则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基于国内先进科学的量化标准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，确保条款可通过常规检测手段验证，便于企业与检验机构执行。</w:t>
      </w:r>
    </w:p>
    <w:p w14:paraId="3F9101D4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全面性与针对性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  <w:lang w:eastAsia="zh-CN"/>
        </w:rPr>
        <w:t>原则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覆盖擦窗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机整机及核心部件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；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聚焦行业普遍关注的关键对象，避免标准范围过大导致执行困难。</w:t>
      </w:r>
    </w:p>
    <w:p w14:paraId="100F4A8A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经济性与合理性：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  <w:lang w:eastAsia="zh-CN"/>
        </w:rPr>
        <w:t>引导企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业平衡安全与经济成本，实现设备全生命周期的合理管理。</w:t>
      </w:r>
    </w:p>
    <w:p w14:paraId="3FA7F599"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标准的主要内容</w:t>
      </w:r>
    </w:p>
    <w:p w14:paraId="338D4625">
      <w:pPr>
        <w:pStyle w:val="11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  <w:lang w:val="en-US" w:eastAsia="zh-CN"/>
        </w:rPr>
        <w:t>范围：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本文件规定了擦窗机的主要零部件的报废条件。本文件适用于符合GB/T 19154中定义的擦窗机设备。本文件包含的零部件为结构件、吊船、电动机、减速机、主制动器、起升卷筒、滑轮、爬升式起升机构、后备装置、钢丝绳、液压系统、回转支承、轨道。</w:t>
      </w:r>
    </w:p>
    <w:p w14:paraId="69502107">
      <w:pPr>
        <w:pStyle w:val="11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规范性引用文件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  <w:lang w:eastAsia="zh-CN"/>
        </w:rPr>
        <w:t>。</w:t>
      </w:r>
    </w:p>
    <w:p w14:paraId="10C14C30">
      <w:pPr>
        <w:pStyle w:val="11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术语和定义：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24"/>
          <w:szCs w:val="24"/>
          <w:u w:val="none"/>
        </w:rPr>
        <w:t>包括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24"/>
          <w:szCs w:val="24"/>
          <w:u w:val="none"/>
          <w:lang w:eastAsia="zh-CN"/>
        </w:rPr>
        <w:t>主要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部件、结构件。</w:t>
      </w:r>
    </w:p>
    <w:p w14:paraId="62CA66BC">
      <w:pPr>
        <w:pStyle w:val="11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报废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  <w:lang w:eastAsia="zh-CN"/>
        </w:rPr>
        <w:t>条件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24"/>
          <w:szCs w:val="24"/>
          <w:u w:val="none"/>
        </w:rPr>
        <w:t>包括总则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、结构件、吊船、电动机、减速机、主制动器、起升卷筒、滑轮、爬升式起升机构、后备装置、钢丝绳、液压系统、回转支承、轨道。</w:t>
      </w:r>
    </w:p>
    <w:p w14:paraId="633A31D5">
      <w:pPr>
        <w:pStyle w:val="11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 w:val="0"/>
          <w:i w:val="0"/>
          <w:strike w:val="0"/>
          <w:color w:val="auto"/>
          <w:sz w:val="24"/>
          <w:szCs w:val="24"/>
          <w:u w:val="none"/>
        </w:rPr>
        <w:t>记录。</w:t>
      </w:r>
    </w:p>
    <w:p w14:paraId="0989E0FF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三、主要试验或验证情况</w:t>
      </w:r>
    </w:p>
    <w:p w14:paraId="75C4F2F3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2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2"/>
          <w:u w:val="none"/>
          <w:lang w:val="en-US" w:eastAsia="zh-CN" w:bidi="ar-SA"/>
        </w:rPr>
        <w:t>为全面掌握擦窗机设备的实际运行状态，科学评估其保养水平、部件损耗规律及安全风险，同时验证相关报废标准的合理性与适用性，我们开展了系统性的擦窗机设备走访调研与专项检测工作。通过与设备运维人员深度沟通、查阅保养记录台账等方式，对设备的保养情况和当前运行现状进行细致摸排。在保养情况调研中，重点关注设备维保执行情况；对于设备现状，则从运行稳定性、功能完整性、外观及结构损伤等维度进行全方位记录。​</w:t>
      </w:r>
    </w:p>
    <w:p w14:paraId="5FF671F6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2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2"/>
          <w:u w:val="none"/>
          <w:lang w:val="en-US" w:eastAsia="zh-CN" w:bidi="ar-SA"/>
        </w:rPr>
        <w:t>基于采集到的数据，运用统计学方法进行量化分析，构建部件损耗模型，清晰呈现不同使用年限下各重要部件的损耗速率、损耗程度与损耗规律。同时，通过数据对比与关联分析，深入挖掘影响设备重大安全的关键因素，发现使用年限较长、保养频率不足的设备，其钢丝绳磨损、制动器失效、防坠器老化等问题更为突出，成为引发安全事故的主要风险点；而恶劣的使用环境（如高湿度、高腐蚀性区域）则会加速结构件锈蚀与电气部件老化，进一步加剧设备安全隐患。​</w:t>
      </w:r>
    </w:p>
    <w:p w14:paraId="48AE7C27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2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2"/>
          <w:u w:val="none"/>
          <w:lang w:val="en-US" w:eastAsia="zh-CN" w:bidi="ar-SA"/>
        </w:rPr>
        <w:t xml:space="preserve">综上，本标准规定的擦窗机报废主要技术指标，经过实践验证具备先进合理、切实可行、可操作、适用性强的特点，完全可以作为相关企业在擦窗机应用过程中，对整机及各类部件进行报废决策的权威依据，为保障擦窗机设备的安全稳定运行、规范行业设备管理提供有力支撑。 </w:t>
      </w:r>
    </w:p>
    <w:p w14:paraId="40DA1F01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四、推广应用论证和预期达到的经济效益、社会效益和生态效益等</w:t>
      </w:r>
    </w:p>
    <w:p w14:paraId="1FE9C2F9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  <w:lang w:val="en-US" w:eastAsia="zh-CN"/>
        </w:rPr>
        <w:t>经济效益：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</w:rPr>
        <w:t>为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24"/>
          <w:u w:val="none"/>
        </w:rPr>
        <w:t>设备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使用单位提供清晰的淘汰决策依据，避免因过度维修造成的成本浪费，同时简化设备管理流程，提升运维效率；帮助设备制造企业明确产品全生命周期责任，推动产品迭代升级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。</w:t>
      </w:r>
    </w:p>
    <w:p w14:paraId="6FBE1B46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  <w:lang w:val="en-US" w:eastAsia="zh-CN"/>
        </w:rPr>
        <w:t>社会效益：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</w:rPr>
        <w:t>通过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明确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标准与流程，有效杜绝设备 “超期服役”“带病运行” 等问题，降低因设备故障引发的安全事故风险，保障从业人员生命安全及建筑运营安全；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有效降低行业事故发生概率，提升擦窗机行业口碑。</w:t>
      </w:r>
    </w:p>
    <w:p w14:paraId="47899409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  <w:lang w:eastAsia="zh-CN"/>
        </w:rPr>
        <w:t>生态效益：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4"/>
          <w:u w:val="none"/>
        </w:rPr>
        <w:t>填补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擦窗机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领域的标准空白，统一行业技术要求，规范市场秩序，避免因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标准不统一导致的恶性竞争（如低价承接超期设备维护），推动行业向规范化、高质量方向发展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。</w:t>
      </w:r>
    </w:p>
    <w:p w14:paraId="0A4BF6A0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五、国内外标准的研究情况说明</w:t>
      </w:r>
    </w:p>
    <w:p w14:paraId="66EF427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目前尚无专门针对擦窗机整机及部件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的技术要求而编写的相关标准。本标准不涉及专利。</w:t>
      </w:r>
    </w:p>
    <w:p w14:paraId="3F51C16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现行的GB/T 19154—2017《擦窗机》、T /CCMA 0015—2023《高处作业吊篮和擦窗机检查、维护保养与操作安全规则》、JGJ/T 150—2018《擦窗机安装工程质量验收标准》对该标准的编制有一定的指导意义。</w:t>
      </w:r>
    </w:p>
    <w:p w14:paraId="55D6E020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1"/>
          <w:u w:val="none"/>
        </w:rPr>
        <w:t>本标准在编制过程中参考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1"/>
          <w:u w:val="none"/>
          <w:lang w:eastAsia="zh-CN"/>
        </w:rPr>
        <w:t>及引用了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1"/>
          <w:u w:val="none"/>
        </w:rPr>
        <w:t>已实施的</w:t>
      </w:r>
      <w:r>
        <w:rPr>
          <w:rFonts w:hint="eastAsia" w:hAnsi="宋体" w:cs="宋体"/>
          <w:b w:val="0"/>
          <w:i w:val="0"/>
          <w:strike w:val="0"/>
          <w:color w:val="auto"/>
          <w:kern w:val="0"/>
          <w:sz w:val="24"/>
          <w:szCs w:val="21"/>
          <w:u w:val="none"/>
          <w:lang w:val="en-US" w:eastAsia="zh-CN"/>
        </w:rPr>
        <w:t>G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8"/>
          <w:u w:val="none"/>
          <w:lang w:val="en-US" w:eastAsia="zh-CN"/>
        </w:rPr>
        <w:t>B/T 6067.1《 起重机械安全规程 第1部分：总则》、 GB/T 5972《起重机钢丝绳保养、维护、检验和报废》、 GB/T 19154—2017《擦窗机》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等规范中内容。</w:t>
      </w:r>
    </w:p>
    <w:p w14:paraId="2EA26B7E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六、采用国际标准和国外先进标准及对比情况</w:t>
      </w:r>
    </w:p>
    <w:p w14:paraId="7518C021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本标准没有采用国际、国外标准。</w:t>
      </w:r>
    </w:p>
    <w:p w14:paraId="332364D7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本标准制定过程中未查询到同类国际、国外标准。</w:t>
      </w:r>
    </w:p>
    <w:p w14:paraId="64EF2124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本标准水平为国内先进水平。</w:t>
      </w:r>
    </w:p>
    <w:p w14:paraId="46473F71">
      <w:pPr>
        <w:pStyle w:val="11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重大分歧意见的处</w:t>
      </w:r>
      <w:r>
        <w:rPr>
          <w:rFonts w:hint="default" w:ascii="宋体" w:hAnsi="宋体" w:eastAsia="宋体" w:cs="宋体"/>
          <w:b/>
          <w:i w:val="0"/>
          <w:strike w:val="0"/>
          <w:color w:val="auto"/>
          <w:sz w:val="28"/>
          <w:u w:val="none"/>
          <w:lang w:val="en-US"/>
        </w:rPr>
        <w:t xml:space="preserve"> </w:t>
      </w: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理经过和依据</w:t>
      </w:r>
    </w:p>
    <w:p w14:paraId="47F01EAF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28"/>
          <w:u w:val="none"/>
          <w:lang w:eastAsia="zh-CN"/>
        </w:rPr>
        <w:t>无。</w:t>
      </w:r>
    </w:p>
    <w:p w14:paraId="01820AE3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八、涉及专利的有关说明</w:t>
      </w:r>
    </w:p>
    <w:p w14:paraId="0C3ADA7D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本标准不涉及专利。</w:t>
      </w:r>
    </w:p>
    <w:p w14:paraId="57D255C3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九、标准贯彻实施的要求和措施建议</w:t>
      </w:r>
    </w:p>
    <w:p w14:paraId="7598729A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建议本标准批准发布6个月后实施。标准实施后，组织行业内相关单位开展会议培训或线上课程培训。</w:t>
      </w:r>
    </w:p>
    <w:p w14:paraId="32EE0C04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十、废止现行相关标准的建议</w:t>
      </w:r>
    </w:p>
    <w:p w14:paraId="2C5FD7B1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无。</w:t>
      </w:r>
    </w:p>
    <w:p w14:paraId="1AC32A06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8"/>
          <w:u w:val="none"/>
        </w:rPr>
        <w:t>十一、其他应予说明的事项</w:t>
      </w:r>
    </w:p>
    <w:p w14:paraId="40F24DB2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本文件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团体标准，旨在为擦窗机行业提供统一的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报废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技术指引，标准发布后，鼓励行业内生产企业、使用单位、检测机构等积极采用。后续将根据行业技术发展与实际应用情况，适时对标准进行修订与完善，确保标准的科学性、先进性与适用性。</w:t>
      </w:r>
    </w:p>
    <w:p w14:paraId="6A1A7250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本文件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2025年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月形成了标准草案稿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并正式立项，于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  <w:t>2025年9月启动会上更名为《擦窗机主要部件报废技术规范》，于2026年4月第二次会议更名为《擦窗机主要零部件报废条件》。</w:t>
      </w:r>
    </w:p>
    <w:p w14:paraId="5021969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4" w:lineRule="auto"/>
        <w:jc w:val="righ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</w:p>
    <w:p w14:paraId="4B7975C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4" w:lineRule="auto"/>
        <w:jc w:val="righ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</w:p>
    <w:p w14:paraId="7BA7E39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4" w:lineRule="auto"/>
        <w:jc w:val="righ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《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eastAsia="zh-CN"/>
        </w:rPr>
        <w:t>擦窗机主要零部件报废条件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》编制工作组</w:t>
      </w:r>
    </w:p>
    <w:p w14:paraId="150AF27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4" w:lineRule="auto"/>
        <w:jc w:val="right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202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>年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  <w:lang w:val="en-US" w:eastAsia="zh-CN"/>
        </w:rPr>
        <w:t>5</w:t>
      </w:r>
      <w:bookmarkStart w:id="4" w:name="_GoBack"/>
      <w:bookmarkEnd w:id="4"/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  <w:t xml:space="preserve">月                  </w:t>
      </w:r>
    </w:p>
    <w:sectPr>
      <w:footerReference r:id="rId3" w:type="default"/>
      <w:pgSz w:w="11906" w:h="16838"/>
      <w:pgMar w:top="1417" w:right="1417" w:bottom="1417" w:left="1417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00019829"/>
      <w:docPartObj>
        <w:docPartGallery w:val="autotext"/>
      </w:docPartObj>
    </w:sdtPr>
    <w:sdtContent>
      <w:p w14:paraId="5DCB3677"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1152AFE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A1A66B"/>
    <w:multiLevelType w:val="singleLevel"/>
    <w:tmpl w:val="C8A1A66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CFA832F"/>
    <w:multiLevelType w:val="singleLevel"/>
    <w:tmpl w:val="DCFA832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  <w:b/>
        <w:bCs/>
        <w:sz w:val="24"/>
        <w:szCs w:val="24"/>
      </w:rPr>
    </w:lvl>
  </w:abstractNum>
  <w:abstractNum w:abstractNumId="2">
    <w:nsid w:val="052710E1"/>
    <w:multiLevelType w:val="singleLevel"/>
    <w:tmpl w:val="052710E1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1B7295D"/>
    <w:multiLevelType w:val="multilevel"/>
    <w:tmpl w:val="21B7295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7E4327"/>
    <w:multiLevelType w:val="singleLevel"/>
    <w:tmpl w:val="4B7E4327"/>
    <w:lvl w:ilvl="0" w:tentative="0">
      <w:start w:val="1"/>
      <w:numFmt w:val="decimal"/>
      <w:lvlText w:val="(%1)"/>
      <w:lvlJc w:val="left"/>
      <w:pPr>
        <w:ind w:left="150" w:hanging="425"/>
      </w:pPr>
      <w:rPr>
        <w:rFonts w:hint="default"/>
        <w:b/>
        <w:bCs/>
        <w:sz w:val="24"/>
        <w:szCs w:val="24"/>
      </w:rPr>
    </w:lvl>
  </w:abstractNum>
  <w:abstractNum w:abstractNumId="5">
    <w:nsid w:val="69A77553"/>
    <w:multiLevelType w:val="multilevel"/>
    <w:tmpl w:val="69A7755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3OWE2NWVmNjYxNTUwMjgzNmQxYmFlOTNlODdhOTAifQ=="/>
  </w:docVars>
  <w:rsids>
    <w:rsidRoot w:val="00121287"/>
    <w:rsid w:val="0002306A"/>
    <w:rsid w:val="00025367"/>
    <w:rsid w:val="000B47B1"/>
    <w:rsid w:val="000B4ACF"/>
    <w:rsid w:val="000B67C0"/>
    <w:rsid w:val="000E68B5"/>
    <w:rsid w:val="0010339A"/>
    <w:rsid w:val="00121287"/>
    <w:rsid w:val="00122FF5"/>
    <w:rsid w:val="00123FDB"/>
    <w:rsid w:val="00136FC2"/>
    <w:rsid w:val="00154BCD"/>
    <w:rsid w:val="00165093"/>
    <w:rsid w:val="0018687A"/>
    <w:rsid w:val="001D7355"/>
    <w:rsid w:val="001E0D54"/>
    <w:rsid w:val="0021535A"/>
    <w:rsid w:val="0022559A"/>
    <w:rsid w:val="00241F5D"/>
    <w:rsid w:val="00243234"/>
    <w:rsid w:val="00261AB1"/>
    <w:rsid w:val="0029468E"/>
    <w:rsid w:val="002D57DC"/>
    <w:rsid w:val="002D6B72"/>
    <w:rsid w:val="0030188D"/>
    <w:rsid w:val="0030779E"/>
    <w:rsid w:val="00312895"/>
    <w:rsid w:val="00366813"/>
    <w:rsid w:val="003775A8"/>
    <w:rsid w:val="003806D5"/>
    <w:rsid w:val="003832E2"/>
    <w:rsid w:val="0038689A"/>
    <w:rsid w:val="00395031"/>
    <w:rsid w:val="003C03D8"/>
    <w:rsid w:val="003C6F58"/>
    <w:rsid w:val="00472AE6"/>
    <w:rsid w:val="004C7A16"/>
    <w:rsid w:val="00541294"/>
    <w:rsid w:val="00585E75"/>
    <w:rsid w:val="005E267E"/>
    <w:rsid w:val="005F7B75"/>
    <w:rsid w:val="00606E30"/>
    <w:rsid w:val="00642532"/>
    <w:rsid w:val="00666D6E"/>
    <w:rsid w:val="00680AC8"/>
    <w:rsid w:val="0068427B"/>
    <w:rsid w:val="006A1557"/>
    <w:rsid w:val="006B07A5"/>
    <w:rsid w:val="006D5E40"/>
    <w:rsid w:val="006E21F0"/>
    <w:rsid w:val="00703B9B"/>
    <w:rsid w:val="00743AA8"/>
    <w:rsid w:val="00745955"/>
    <w:rsid w:val="00751CA8"/>
    <w:rsid w:val="00771190"/>
    <w:rsid w:val="00775606"/>
    <w:rsid w:val="007A08DC"/>
    <w:rsid w:val="00823CDE"/>
    <w:rsid w:val="008329E8"/>
    <w:rsid w:val="0084151A"/>
    <w:rsid w:val="0084223D"/>
    <w:rsid w:val="008534BB"/>
    <w:rsid w:val="00876D01"/>
    <w:rsid w:val="008A71D6"/>
    <w:rsid w:val="008C7D81"/>
    <w:rsid w:val="008D5A48"/>
    <w:rsid w:val="008D6E26"/>
    <w:rsid w:val="00901D62"/>
    <w:rsid w:val="00903190"/>
    <w:rsid w:val="009057E3"/>
    <w:rsid w:val="00933FEA"/>
    <w:rsid w:val="00950108"/>
    <w:rsid w:val="00955D77"/>
    <w:rsid w:val="00957024"/>
    <w:rsid w:val="00964A0F"/>
    <w:rsid w:val="009A067B"/>
    <w:rsid w:val="009C47C5"/>
    <w:rsid w:val="009D26BD"/>
    <w:rsid w:val="009E02FF"/>
    <w:rsid w:val="009F6CE7"/>
    <w:rsid w:val="00A41AD3"/>
    <w:rsid w:val="00A66660"/>
    <w:rsid w:val="00A834D4"/>
    <w:rsid w:val="00A87C55"/>
    <w:rsid w:val="00A954FF"/>
    <w:rsid w:val="00AF257B"/>
    <w:rsid w:val="00AF5E9C"/>
    <w:rsid w:val="00B36144"/>
    <w:rsid w:val="00B3784C"/>
    <w:rsid w:val="00B53CE1"/>
    <w:rsid w:val="00B966F0"/>
    <w:rsid w:val="00BA6155"/>
    <w:rsid w:val="00C741F5"/>
    <w:rsid w:val="00CA6A71"/>
    <w:rsid w:val="00CD1D18"/>
    <w:rsid w:val="00D526DC"/>
    <w:rsid w:val="00D73950"/>
    <w:rsid w:val="00D871EE"/>
    <w:rsid w:val="00DB189F"/>
    <w:rsid w:val="00DC1BA8"/>
    <w:rsid w:val="00DC2EC1"/>
    <w:rsid w:val="00DE2C87"/>
    <w:rsid w:val="00DE5956"/>
    <w:rsid w:val="00E11C17"/>
    <w:rsid w:val="00E2464C"/>
    <w:rsid w:val="00E318F7"/>
    <w:rsid w:val="00E35A30"/>
    <w:rsid w:val="00E35ADE"/>
    <w:rsid w:val="00E517D5"/>
    <w:rsid w:val="00E577CF"/>
    <w:rsid w:val="00EC4379"/>
    <w:rsid w:val="00F15B34"/>
    <w:rsid w:val="00F30329"/>
    <w:rsid w:val="00F57936"/>
    <w:rsid w:val="00F642A1"/>
    <w:rsid w:val="00F74E56"/>
    <w:rsid w:val="00F86BCE"/>
    <w:rsid w:val="00F93246"/>
    <w:rsid w:val="00FA3616"/>
    <w:rsid w:val="00FB1A23"/>
    <w:rsid w:val="00FD40B0"/>
    <w:rsid w:val="058336F6"/>
    <w:rsid w:val="07F414F5"/>
    <w:rsid w:val="07F901A3"/>
    <w:rsid w:val="0E780F3B"/>
    <w:rsid w:val="0F6F7F34"/>
    <w:rsid w:val="131D4F6D"/>
    <w:rsid w:val="13305E2D"/>
    <w:rsid w:val="14AB2EE1"/>
    <w:rsid w:val="18693DEF"/>
    <w:rsid w:val="2379124F"/>
    <w:rsid w:val="2E7A22E1"/>
    <w:rsid w:val="30C10B18"/>
    <w:rsid w:val="3149210F"/>
    <w:rsid w:val="344E5F68"/>
    <w:rsid w:val="379C16EC"/>
    <w:rsid w:val="37B7532F"/>
    <w:rsid w:val="38EA34A3"/>
    <w:rsid w:val="3B822EAC"/>
    <w:rsid w:val="40F85E7C"/>
    <w:rsid w:val="434E7C13"/>
    <w:rsid w:val="4A250ABA"/>
    <w:rsid w:val="56F97F7E"/>
    <w:rsid w:val="5AB66804"/>
    <w:rsid w:val="5CA27FAC"/>
    <w:rsid w:val="60BE3819"/>
    <w:rsid w:val="6B9145AA"/>
    <w:rsid w:val="738F7621"/>
    <w:rsid w:val="73B26A9F"/>
    <w:rsid w:val="74107937"/>
    <w:rsid w:val="75FE0ADD"/>
    <w:rsid w:val="7B6B34A5"/>
    <w:rsid w:val="7E34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120" w:after="120" w:line="360" w:lineRule="auto"/>
      <w:jc w:val="left"/>
      <w:outlineLvl w:val="0"/>
    </w:pPr>
    <w:rPr>
      <w:rFonts w:ascii="Cambria" w:hAnsi="Cambria" w:eastAsia="黑体" w:cs="Times New Roman"/>
      <w:bCs/>
      <w:szCs w:val="32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字符"/>
    <w:basedOn w:val="8"/>
    <w:link w:val="5"/>
    <w:qFormat/>
    <w:uiPriority w:val="0"/>
    <w:rPr>
      <w:rFonts w:ascii="Cambria" w:hAnsi="Cambria" w:eastAsia="黑体" w:cs="Times New Roman"/>
      <w:bCs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标准文件_文件名称"/>
    <w:basedOn w:val="14"/>
    <w:next w:val="14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3173</Words>
  <Characters>3351</Characters>
  <Lines>25</Lines>
  <Paragraphs>7</Paragraphs>
  <TotalTime>12</TotalTime>
  <ScaleCrop>false</ScaleCrop>
  <LinksUpToDate>false</LinksUpToDate>
  <CharactersWithSpaces>3409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2025-07-22T05:35:00Z</dcterms:created>
  <dc:creator>123</dc:creator>
  <cp:lastModifiedBy>蒋燕</cp:lastModifiedBy>
  <dcterms:modified xsi:type="dcterms:W3CDTF">2026-05-07T02:50:28Z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eyJoZGlkIjoiNGM3ZGMzMTcwODU4OTc1YjkwNjY1ZjIyYWQ0NWMzZDciLCJ1c2VySWQiOiIyNzg5OTExNTcifQ==</vt:lpwstr>
  </property>
  <property fmtid="{D5CDD505-2E9C-101B-9397-08002B2CF9AE}" pid="3" name="KSOProductBuildVer">
    <vt:lpwstr>2052-12.1.0.18334</vt:lpwstr>
  </property>
  <property fmtid="{D5CDD505-2E9C-101B-9397-08002B2CF9AE}" pid="4" name="ICV">
    <vt:lpwstr>3B9991B421E64A9F8D8D35D8758C0221_13</vt:lpwstr>
  </property>
</Properties>
</file>